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C0" w:rsidRDefault="00E30001">
      <w:pPr>
        <w:spacing w:after="153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Доклад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520C0" w:rsidRDefault="00E30001">
      <w:pPr>
        <w:spacing w:after="220"/>
        <w:ind w:left="91"/>
      </w:pPr>
      <w:r>
        <w:rPr>
          <w:rFonts w:ascii="Times New Roman" w:eastAsia="Times New Roman" w:hAnsi="Times New Roman" w:cs="Times New Roman"/>
          <w:b/>
          <w:sz w:val="32"/>
        </w:rPr>
        <w:t xml:space="preserve">«Основные подходы к составлению заданий по формированию </w:t>
      </w:r>
    </w:p>
    <w:p w:rsidR="004520C0" w:rsidRDefault="00E30001">
      <w:pPr>
        <w:spacing w:after="203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е</w:t>
      </w:r>
      <w:r>
        <w:rPr>
          <w:rFonts w:ascii="Times New Roman" w:eastAsia="Times New Roman" w:hAnsi="Times New Roman" w:cs="Times New Roman"/>
          <w:b/>
          <w:sz w:val="32"/>
        </w:rPr>
        <w:t>стественно-</w:t>
      </w:r>
      <w:r>
        <w:rPr>
          <w:rFonts w:ascii="Times New Roman" w:eastAsia="Times New Roman" w:hAnsi="Times New Roman" w:cs="Times New Roman"/>
          <w:b/>
          <w:sz w:val="32"/>
        </w:rPr>
        <w:t xml:space="preserve">научной грамотности» </w:t>
      </w:r>
    </w:p>
    <w:p w:rsidR="004520C0" w:rsidRPr="00E30001" w:rsidRDefault="00E30001" w:rsidP="00E30001">
      <w:pPr>
        <w:spacing w:after="3" w:line="402" w:lineRule="auto"/>
        <w:ind w:right="-13"/>
        <w:jc w:val="right"/>
        <w:rPr>
          <w:b/>
          <w:i/>
        </w:rPr>
      </w:pPr>
      <w:proofErr w:type="spellStart"/>
      <w:r w:rsidRPr="00E30001">
        <w:rPr>
          <w:b/>
          <w:i/>
        </w:rPr>
        <w:t>Галиуллина</w:t>
      </w:r>
      <w:proofErr w:type="spellEnd"/>
      <w:r w:rsidRPr="00E30001">
        <w:rPr>
          <w:b/>
          <w:i/>
        </w:rPr>
        <w:t xml:space="preserve"> Е.В.,</w:t>
      </w:r>
    </w:p>
    <w:p w:rsidR="00E30001" w:rsidRPr="00E30001" w:rsidRDefault="00E30001" w:rsidP="00E30001">
      <w:pPr>
        <w:spacing w:after="3" w:line="402" w:lineRule="auto"/>
        <w:ind w:right="-13"/>
        <w:jc w:val="right"/>
        <w:rPr>
          <w:b/>
          <w:i/>
        </w:rPr>
      </w:pPr>
      <w:r w:rsidRPr="00E30001">
        <w:rPr>
          <w:b/>
          <w:i/>
        </w:rPr>
        <w:t>учитель химии</w:t>
      </w:r>
    </w:p>
    <w:p w:rsidR="004520C0" w:rsidRDefault="00E30001" w:rsidP="00E30001">
      <w:pPr>
        <w:spacing w:after="16" w:line="38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Функциональная грамотность выступает</w:t>
      </w:r>
      <w:r>
        <w:rPr>
          <w:rFonts w:ascii="Times New Roman" w:eastAsia="Times New Roman" w:hAnsi="Times New Roman" w:cs="Times New Roman"/>
          <w:sz w:val="28"/>
        </w:rPr>
        <w:t xml:space="preserve"> как способ социальной ориентации личности, показывающий связь образования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(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первую очередь общего)  с многоплановой человеческой деятельностью. Низкий уровень функциональной грамотности</w:t>
      </w:r>
      <w:r>
        <w:rPr>
          <w:rFonts w:ascii="Times New Roman" w:eastAsia="Times New Roman" w:hAnsi="Times New Roman" w:cs="Times New Roman"/>
          <w:sz w:val="28"/>
        </w:rPr>
        <w:t xml:space="preserve"> затрудняет адаптацию подростк</w:t>
      </w:r>
      <w:r>
        <w:rPr>
          <w:rFonts w:ascii="Times New Roman" w:eastAsia="Times New Roman" w:hAnsi="Times New Roman" w:cs="Times New Roman"/>
          <w:sz w:val="28"/>
        </w:rPr>
        <w:t xml:space="preserve">ового поколения в социуме. </w:t>
      </w:r>
    </w:p>
    <w:p w:rsidR="004520C0" w:rsidRDefault="00E30001" w:rsidP="00E30001">
      <w:pPr>
        <w:spacing w:after="16" w:line="38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Цель: способствовать освоению и использованию естественно-научных знаний</w:t>
      </w:r>
      <w:r>
        <w:rPr>
          <w:rFonts w:ascii="Times New Roman" w:eastAsia="Times New Roman" w:hAnsi="Times New Roman" w:cs="Times New Roman"/>
          <w:sz w:val="28"/>
        </w:rPr>
        <w:t xml:space="preserve"> для распознания и постановки вопросов, освоения новых знаний, объяснения явлений; </w:t>
      </w:r>
      <w:r>
        <w:rPr>
          <w:rFonts w:ascii="Times New Roman" w:eastAsia="Times New Roman" w:hAnsi="Times New Roman" w:cs="Times New Roman"/>
          <w:sz w:val="28"/>
        </w:rPr>
        <w:t>способности демонстрировать осведомленность в том, что естественные на</w:t>
      </w:r>
      <w:r>
        <w:rPr>
          <w:rFonts w:ascii="Times New Roman" w:eastAsia="Times New Roman" w:hAnsi="Times New Roman" w:cs="Times New Roman"/>
          <w:sz w:val="28"/>
        </w:rPr>
        <w:t xml:space="preserve">уки и технологии оказывают огромное влияние на материальную, интеллектуальную и </w:t>
      </w:r>
      <w:r>
        <w:rPr>
          <w:rFonts w:ascii="Times New Roman" w:eastAsia="Times New Roman" w:hAnsi="Times New Roman" w:cs="Times New Roman"/>
          <w:sz w:val="28"/>
        </w:rPr>
        <w:t xml:space="preserve">культурную сферы общества.  Основные подходы к составлению заданий по формированию естественнонаучной грамотности: </w:t>
      </w:r>
    </w:p>
    <w:p w:rsidR="00E30001" w:rsidRPr="00E30001" w:rsidRDefault="00E30001" w:rsidP="00E30001">
      <w:pPr>
        <w:numPr>
          <w:ilvl w:val="0"/>
          <w:numId w:val="1"/>
        </w:numPr>
        <w:spacing w:after="16" w:line="386" w:lineRule="auto"/>
        <w:ind w:right="29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все задания должны опираться на </w:t>
      </w:r>
      <w:r>
        <w:rPr>
          <w:rFonts w:ascii="Times New Roman" w:eastAsia="Times New Roman" w:hAnsi="Times New Roman" w:cs="Times New Roman"/>
          <w:sz w:val="28"/>
        </w:rPr>
        <w:t xml:space="preserve">  естественно-</w:t>
      </w:r>
      <w:r>
        <w:rPr>
          <w:rFonts w:ascii="Times New Roman" w:eastAsia="Times New Roman" w:hAnsi="Times New Roman" w:cs="Times New Roman"/>
          <w:sz w:val="28"/>
        </w:rPr>
        <w:t xml:space="preserve">научные теории </w:t>
      </w:r>
      <w:r>
        <w:rPr>
          <w:rFonts w:ascii="Times New Roman" w:eastAsia="Times New Roman" w:hAnsi="Times New Roman" w:cs="Times New Roman"/>
          <w:sz w:val="28"/>
        </w:rPr>
        <w:t>и законы;</w:t>
      </w:r>
    </w:p>
    <w:p w:rsidR="004520C0" w:rsidRDefault="00E30001" w:rsidP="00E30001">
      <w:pPr>
        <w:numPr>
          <w:ilvl w:val="0"/>
          <w:numId w:val="1"/>
        </w:numPr>
        <w:spacing w:after="16" w:line="386" w:lineRule="auto"/>
        <w:ind w:right="29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должны  подтверждать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теоретические знания</w:t>
      </w:r>
      <w:r>
        <w:rPr>
          <w:rFonts w:ascii="Times New Roman" w:eastAsia="Times New Roman" w:hAnsi="Times New Roman" w:cs="Times New Roman"/>
          <w:sz w:val="28"/>
        </w:rPr>
        <w:t xml:space="preserve"> практикой жизни. </w:t>
      </w:r>
    </w:p>
    <w:p w:rsidR="00E30001" w:rsidRPr="00E30001" w:rsidRDefault="00E30001" w:rsidP="00E30001">
      <w:pPr>
        <w:numPr>
          <w:ilvl w:val="0"/>
          <w:numId w:val="1"/>
        </w:numPr>
        <w:spacing w:after="16" w:line="386" w:lineRule="auto"/>
        <w:ind w:right="29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должны опираться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на  знания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 различных предметных областей;</w:t>
      </w:r>
    </w:p>
    <w:p w:rsidR="004520C0" w:rsidRDefault="00E30001" w:rsidP="00E30001">
      <w:pPr>
        <w:numPr>
          <w:ilvl w:val="0"/>
          <w:numId w:val="1"/>
        </w:numPr>
        <w:spacing w:after="16" w:line="386" w:lineRule="auto"/>
        <w:ind w:right="29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должны развивать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у  учащихся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способность  анализировать, делать выводы, наблюдать, сравнивать, мо</w:t>
      </w:r>
      <w:r>
        <w:rPr>
          <w:rFonts w:ascii="Times New Roman" w:eastAsia="Times New Roman" w:hAnsi="Times New Roman" w:cs="Times New Roman"/>
          <w:sz w:val="28"/>
        </w:rPr>
        <w:t>делировать.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20C0" w:rsidRDefault="00E30001" w:rsidP="00E30001">
      <w:pPr>
        <w:spacing w:after="161" w:line="387" w:lineRule="auto"/>
        <w:ind w:left="-5" w:hanging="10"/>
        <w:jc w:val="both"/>
      </w:pPr>
      <w:r>
        <w:rPr>
          <w:rFonts w:ascii="Arial" w:eastAsia="Arial" w:hAnsi="Arial" w:cs="Arial"/>
          <w:color w:val="333333"/>
          <w:sz w:val="21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Инструментарием развития функциональной грамотности школьников, а также проверки ее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являются задания творческого характера и интегративные задания. </w:t>
      </w:r>
    </w:p>
    <w:p w:rsidR="004520C0" w:rsidRDefault="00E30001" w:rsidP="00E30001">
      <w:pPr>
        <w:spacing w:after="89" w:line="387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>Интегративное задание – разновидность учебных задач, которые могут применят</w:t>
      </w:r>
      <w:r>
        <w:rPr>
          <w:rFonts w:ascii="Times New Roman" w:eastAsia="Times New Roman" w:hAnsi="Times New Roman" w:cs="Times New Roman"/>
          <w:color w:val="333333"/>
          <w:sz w:val="28"/>
        </w:rPr>
        <w:t>ься на различных уроках. Их особенность заключается в синтезе знаний и умений из разных наук, разных учебных дисциплин, тем, проблем, в объединении их вокруг и ради решения одного вопроса, одной проблемы, ради познания одного объекта или предмета. Как прав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ило, интегративные задания разрабатываются как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межцикловые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или связывающие теорию и личный опыт учащихся. </w:t>
      </w:r>
    </w:p>
    <w:p w:rsidR="004520C0" w:rsidRDefault="00E30001" w:rsidP="00E30001">
      <w:pPr>
        <w:spacing w:after="161" w:line="387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Так при изучении темы «Сера и ее соединения» в 9 классе можно учащимся предложить следующее задание. </w:t>
      </w:r>
    </w:p>
    <w:p w:rsidR="004520C0" w:rsidRDefault="00E30001" w:rsidP="00E30001">
      <w:pPr>
        <w:numPr>
          <w:ilvl w:val="1"/>
          <w:numId w:val="1"/>
        </w:numPr>
        <w:spacing w:after="286"/>
        <w:ind w:hanging="36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Раскройте двойственную биологическую роль серы в организме. </w:t>
      </w:r>
    </w:p>
    <w:p w:rsidR="004520C0" w:rsidRDefault="00E30001" w:rsidP="00E30001">
      <w:pPr>
        <w:numPr>
          <w:ilvl w:val="1"/>
          <w:numId w:val="1"/>
        </w:numPr>
        <w:spacing w:after="104" w:line="387" w:lineRule="auto"/>
        <w:ind w:hanging="36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Перечислите основные источники оксида серы(IV)как загрязнителя атмосферы и способы его улавливания. </w:t>
      </w:r>
    </w:p>
    <w:p w:rsidR="004520C0" w:rsidRDefault="00E30001" w:rsidP="00E30001">
      <w:pPr>
        <w:spacing w:after="267"/>
        <w:ind w:left="68"/>
        <w:jc w:val="both"/>
      </w:pPr>
      <w:r>
        <w:rPr>
          <w:noProof/>
        </w:rPr>
        <w:drawing>
          <wp:inline distT="0" distB="0" distL="0" distR="0">
            <wp:extent cx="2372360" cy="145796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4520C0" w:rsidRDefault="00E30001" w:rsidP="00E30001">
      <w:pPr>
        <w:spacing w:after="337"/>
        <w:ind w:left="-5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1. Внесите в рисунок недостающие элементы. </w:t>
      </w:r>
    </w:p>
    <w:p w:rsidR="004520C0" w:rsidRDefault="00E30001" w:rsidP="00E30001">
      <w:pPr>
        <w:spacing w:after="282"/>
        <w:ind w:left="-5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>Анализируя рисунок, ответьте на следующие вопро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сы: </w:t>
      </w:r>
    </w:p>
    <w:p w:rsidR="004520C0" w:rsidRDefault="00E30001" w:rsidP="00E30001">
      <w:pPr>
        <w:spacing w:after="118" w:line="387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>А) Как отразится на биоценозе водоема воздействие кислотных дождей (образовавшихся с участием SO</w:t>
      </w:r>
      <w:r>
        <w:rPr>
          <w:rFonts w:ascii="Times New Roman" w:eastAsia="Times New Roman" w:hAnsi="Times New Roman" w:cs="Times New Roman"/>
          <w:color w:val="333333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), выпавших на почву? </w:t>
      </w:r>
    </w:p>
    <w:p w:rsidR="004520C0" w:rsidRDefault="00E30001" w:rsidP="00E30001">
      <w:pPr>
        <w:spacing w:after="161" w:line="387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>В) Каким образом могут быть устранены изменения, происшедшие в водоеме под действием попавшего туда SO</w:t>
      </w:r>
      <w:r>
        <w:rPr>
          <w:rFonts w:ascii="Times New Roman" w:eastAsia="Times New Roman" w:hAnsi="Times New Roman" w:cs="Times New Roman"/>
          <w:color w:val="333333"/>
          <w:sz w:val="28"/>
          <w:vertAlign w:val="subscript"/>
        </w:rPr>
        <w:t xml:space="preserve">2 </w:t>
      </w:r>
    </w:p>
    <w:p w:rsidR="004520C0" w:rsidRDefault="00E30001" w:rsidP="00E30001">
      <w:pPr>
        <w:spacing w:after="161" w:line="38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 xml:space="preserve">Задача 2. </w:t>
      </w:r>
      <w:r>
        <w:rPr>
          <w:rFonts w:ascii="Times New Roman" w:eastAsia="Times New Roman" w:hAnsi="Times New Roman" w:cs="Times New Roman"/>
          <w:color w:val="333333"/>
          <w:sz w:val="28"/>
        </w:rPr>
        <w:t>В реанимацию поп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адают больные, потерявшие много крови. В этих случаях используют 0,85%-й раствор поваренной соли (ϸ= 1 г/мл), который называется физиологическим раствором. </w:t>
      </w:r>
    </w:p>
    <w:p w:rsidR="004520C0" w:rsidRDefault="00E30001" w:rsidP="00E30001">
      <w:pPr>
        <w:spacing w:after="65" w:line="387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u w:val="single" w:color="333333"/>
        </w:rPr>
        <w:t xml:space="preserve">Задание: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Представьте, что вы должны срочно приготовить 800 мл такого раствора. Как бы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вы  приготовили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такой раствор? Почему необходимо строго соблюдать концентрацию раствора. Что будет,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если раствор будет более высокой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или более низкой   </w:t>
      </w:r>
      <w:r>
        <w:rPr>
          <w:rFonts w:ascii="Times New Roman" w:eastAsia="Times New Roman" w:hAnsi="Times New Roman" w:cs="Times New Roman"/>
          <w:color w:val="333333"/>
          <w:sz w:val="28"/>
        </w:rPr>
        <w:t>концентрации.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</w:rPr>
        <w:t>Ответ: Рас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творить 6,8 г соли в 793,2 мл воды.  В растворе с высокой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концентрацией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 клетки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 крови будут высыхать. В растворе с низкой концентрацией соли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 клетки будут разбухать) </w:t>
      </w:r>
    </w:p>
    <w:p w:rsidR="004520C0" w:rsidRDefault="00E30001" w:rsidP="00E30001">
      <w:pPr>
        <w:spacing w:after="38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20C0" w:rsidRDefault="00E30001" w:rsidP="00E30001">
      <w:pPr>
        <w:spacing w:after="159" w:line="38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Практическая работа — один из тех методов познания, который должны освоить учащиеся.</w:t>
      </w:r>
      <w:r>
        <w:rPr>
          <w:rFonts w:ascii="Times New Roman" w:eastAsia="Times New Roman" w:hAnsi="Times New Roman" w:cs="Times New Roman"/>
          <w:sz w:val="28"/>
        </w:rPr>
        <w:t xml:space="preserve"> На основании ощущений создается более содержательное восприятие — важное условие для достижения осознанных и прочных знаний.  </w:t>
      </w:r>
    </w:p>
    <w:p w:rsidR="004520C0" w:rsidRDefault="00E30001" w:rsidP="00E30001">
      <w:pPr>
        <w:spacing w:after="16" w:line="38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активности в добывании знаний происходит не сразу, а поэтапно. Важно, чтобы изучение свойств веществ и различных ре</w:t>
      </w:r>
      <w:r>
        <w:rPr>
          <w:rFonts w:ascii="Times New Roman" w:eastAsia="Times New Roman" w:hAnsi="Times New Roman" w:cs="Times New Roman"/>
          <w:sz w:val="28"/>
        </w:rPr>
        <w:t>акций приводило учащихся к открытию закономерностей в изменении свойств веществ, при протекании химических реакций. Изучению данных закономерностей может способствовать проведение эксперимента на занятии по функциональной грамотности. Например взаимодейств</w:t>
      </w:r>
      <w:r>
        <w:rPr>
          <w:rFonts w:ascii="Times New Roman" w:eastAsia="Times New Roman" w:hAnsi="Times New Roman" w:cs="Times New Roman"/>
          <w:sz w:val="28"/>
        </w:rPr>
        <w:t xml:space="preserve">ие металлов с соляной кислотой </w:t>
      </w:r>
      <w:proofErr w:type="gramStart"/>
      <w:r>
        <w:rPr>
          <w:rFonts w:ascii="Times New Roman" w:eastAsia="Times New Roman" w:hAnsi="Times New Roman" w:cs="Times New Roman"/>
          <w:sz w:val="28"/>
        </w:rPr>
        <w:t>HCL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пять пробирок помещаем по 1 грамму различных металлов  AL   </w:t>
      </w:r>
      <w:proofErr w:type="spellStart"/>
      <w:r>
        <w:rPr>
          <w:rFonts w:ascii="Times New Roman" w:eastAsia="Times New Roman" w:hAnsi="Times New Roman" w:cs="Times New Roman"/>
          <w:sz w:val="28"/>
        </w:rPr>
        <w:t>Zn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Cu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Mg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Fe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приливаем по 1,5 мл раствора соляной кислоты. </w:t>
      </w:r>
    </w:p>
    <w:p w:rsidR="004520C0" w:rsidRDefault="00E30001" w:rsidP="00E30001">
      <w:pPr>
        <w:spacing w:after="162" w:line="38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Наглядно можно увидеть, </w:t>
      </w:r>
      <w:r>
        <w:rPr>
          <w:rFonts w:ascii="Times New Roman" w:eastAsia="Times New Roman" w:hAnsi="Times New Roman" w:cs="Times New Roman"/>
          <w:sz w:val="28"/>
        </w:rPr>
        <w:t xml:space="preserve">насколько активно металлы реагируют с кислотой, в зависимости от природы реагирующих веществ.  Таким образом, мы наглядно увидим, правильно ли расположены металлы в ряду активности. </w:t>
      </w:r>
    </w:p>
    <w:p w:rsidR="004520C0" w:rsidRDefault="00E30001" w:rsidP="00E30001">
      <w:pPr>
        <w:spacing w:after="29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20C0" w:rsidRDefault="00E30001" w:rsidP="00E30001">
      <w:pPr>
        <w:spacing w:after="21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20C0" w:rsidRDefault="00E30001" w:rsidP="00E30001">
      <w:pPr>
        <w:spacing w:after="25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</w:p>
    <w:p w:rsidR="004520C0" w:rsidRDefault="00E30001" w:rsidP="00E30001">
      <w:pPr>
        <w:spacing w:after="2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20C0" w:rsidRDefault="00E30001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20C0" w:rsidRDefault="00E30001">
      <w:pPr>
        <w:spacing w:after="3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520C0" w:rsidRDefault="00E3000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520C0">
      <w:pgSz w:w="11906" w:h="16838"/>
      <w:pgMar w:top="1192" w:right="847" w:bottom="123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B6E5C"/>
    <w:multiLevelType w:val="hybridMultilevel"/>
    <w:tmpl w:val="F7E4ABD0"/>
    <w:lvl w:ilvl="0" w:tplc="B626661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CBF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429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4F72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32E1D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A076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EE0B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8C29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86C9B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C0"/>
    <w:rsid w:val="004520C0"/>
    <w:rsid w:val="00E3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AA349-1A3F-48E4-BE53-A541119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Учитель</cp:lastModifiedBy>
  <cp:revision>2</cp:revision>
  <dcterms:created xsi:type="dcterms:W3CDTF">2021-10-26T04:45:00Z</dcterms:created>
  <dcterms:modified xsi:type="dcterms:W3CDTF">2021-10-26T04:45:00Z</dcterms:modified>
</cp:coreProperties>
</file>